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E114" w14:textId="77777777" w:rsidR="00E676B3" w:rsidRDefault="00E676B3" w:rsidP="005D2CE9">
      <w:pPr>
        <w:spacing w:after="0" w:line="240" w:lineRule="auto"/>
        <w:jc w:val="both"/>
        <w:rPr>
          <w:b/>
          <w:sz w:val="24"/>
          <w:szCs w:val="24"/>
        </w:rPr>
      </w:pPr>
      <w:bookmarkStart w:id="0" w:name="_GoBack"/>
      <w:bookmarkEnd w:id="0"/>
    </w:p>
    <w:p w14:paraId="5E69707D" w14:textId="77777777" w:rsidR="00E676B3" w:rsidRDefault="00B52CD0" w:rsidP="005D2CE9">
      <w:pPr>
        <w:spacing w:after="0" w:line="240" w:lineRule="auto"/>
        <w:jc w:val="both"/>
        <w:rPr>
          <w:b/>
          <w:sz w:val="32"/>
          <w:szCs w:val="32"/>
        </w:rPr>
      </w:pPr>
      <w:bookmarkStart w:id="1" w:name="_gjdgxs" w:colFirst="0" w:colLast="0"/>
      <w:bookmarkEnd w:id="1"/>
      <w:r>
        <w:rPr>
          <w:b/>
          <w:sz w:val="32"/>
          <w:szCs w:val="32"/>
        </w:rPr>
        <w:t xml:space="preserve">eXeBlock </w:t>
      </w:r>
      <w:r w:rsidR="00A86766">
        <w:rPr>
          <w:b/>
          <w:sz w:val="32"/>
          <w:szCs w:val="32"/>
        </w:rPr>
        <w:t xml:space="preserve">Completes Transaction to sell Assets </w:t>
      </w:r>
    </w:p>
    <w:p w14:paraId="0E0D5C68" w14:textId="77777777" w:rsidR="00E676B3" w:rsidRDefault="00B52CD0" w:rsidP="005D2CE9">
      <w:pPr>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14:paraId="319EB1F6" w14:textId="04902ABB" w:rsidR="00E676B3" w:rsidRDefault="00B52CD0"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b/>
          <w:color w:val="000000"/>
        </w:rPr>
        <w:t>Halifax, Nova Scotia -- (</w:t>
      </w:r>
      <w:r>
        <w:t xml:space="preserve"> </w:t>
      </w:r>
      <w:r w:rsidR="00A86766">
        <w:t xml:space="preserve">April </w:t>
      </w:r>
      <w:r w:rsidR="00206B53">
        <w:t>2</w:t>
      </w:r>
      <w:r w:rsidR="00AF15C8">
        <w:t>6</w:t>
      </w:r>
      <w:r>
        <w:t>, 2019</w:t>
      </w:r>
      <w:r>
        <w:rPr>
          <w:b/>
          <w:color w:val="000000"/>
        </w:rPr>
        <w:t xml:space="preserve">) – </w:t>
      </w:r>
      <w:r>
        <w:rPr>
          <w:color w:val="000000"/>
        </w:rPr>
        <w:t xml:space="preserve">eXeBlock Technology Corporation (CSE: XBLK) (“eXeBlock” or the “Company”) </w:t>
      </w:r>
      <w:r w:rsidR="00D04884">
        <w:rPr>
          <w:color w:val="000000"/>
        </w:rPr>
        <w:t xml:space="preserve">is pleased to </w:t>
      </w:r>
      <w:r>
        <w:rPr>
          <w:color w:val="000000"/>
        </w:rPr>
        <w:t xml:space="preserve">announce it has </w:t>
      </w:r>
      <w:r w:rsidR="00A86766">
        <w:rPr>
          <w:color w:val="000000"/>
        </w:rPr>
        <w:t xml:space="preserve">completed </w:t>
      </w:r>
      <w:r w:rsidR="00D04884">
        <w:rPr>
          <w:color w:val="000000"/>
        </w:rPr>
        <w:t xml:space="preserve">its previously announced </w:t>
      </w:r>
      <w:r w:rsidR="00A86766">
        <w:rPr>
          <w:color w:val="000000"/>
        </w:rPr>
        <w:t xml:space="preserve">transaction </w:t>
      </w:r>
      <w:r>
        <w:rPr>
          <w:color w:val="000000"/>
        </w:rPr>
        <w:t xml:space="preserve"> with Peerplays Blockchain Standards Association (“PBSA”), Data Security Node Inc., Fallout Complex Inc., 10</w:t>
      </w:r>
      <w:r w:rsidR="005D2CE9">
        <w:rPr>
          <w:color w:val="000000"/>
        </w:rPr>
        <w:t>353027 Canada Corporation (“1035</w:t>
      </w:r>
      <w:r>
        <w:rPr>
          <w:color w:val="000000"/>
        </w:rPr>
        <w:t xml:space="preserve">3027”), and Jonathan Baha’i. </w:t>
      </w:r>
    </w:p>
    <w:p w14:paraId="301DFC57" w14:textId="77777777" w:rsidR="00E676B3" w:rsidRDefault="00E676B3"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09666482" w14:textId="77777777" w:rsidR="00E676B3" w:rsidRDefault="00B52CD0"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color w:val="000000"/>
        </w:rPr>
        <w:t xml:space="preserve">Material terms of the </w:t>
      </w:r>
      <w:r w:rsidR="00D04884">
        <w:rPr>
          <w:color w:val="000000"/>
        </w:rPr>
        <w:t xml:space="preserve">transaction </w:t>
      </w:r>
      <w:r>
        <w:rPr>
          <w:color w:val="000000"/>
        </w:rPr>
        <w:t>include:</w:t>
      </w:r>
    </w:p>
    <w:p w14:paraId="382A8CF8" w14:textId="77777777" w:rsidR="00E676B3" w:rsidRDefault="00E676B3"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536ED358" w14:textId="77777777"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rPr>
        <w:t>Sale of software including 50/50 Labs, Sidechain and eXeChain (collectively, the “Software”) to PBSA for the payment to eXeBlock of $250,000 in cash plus applicable taxes</w:t>
      </w:r>
      <w:r>
        <w:rPr>
          <w:color w:val="000000"/>
          <w:sz w:val="24"/>
          <w:szCs w:val="24"/>
        </w:rPr>
        <w:t>;</w:t>
      </w:r>
    </w:p>
    <w:p w14:paraId="5DAEBB39" w14:textId="77777777"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color w:val="000000"/>
        </w:rPr>
        <w:t xml:space="preserve">the assumption by PBSA of amounts owing by eXeBlock to a third party developer in the development of the Software totaling </w:t>
      </w:r>
      <w:r w:rsidR="00FD1F9D">
        <w:rPr>
          <w:color w:val="000000"/>
        </w:rPr>
        <w:t xml:space="preserve">approximately </w:t>
      </w:r>
      <w:r>
        <w:rPr>
          <w:color w:val="000000"/>
        </w:rPr>
        <w:t>$</w:t>
      </w:r>
      <w:r>
        <w:t>463,419 USD</w:t>
      </w:r>
      <w:r>
        <w:rPr>
          <w:color w:val="000000"/>
        </w:rPr>
        <w:t>;</w:t>
      </w:r>
    </w:p>
    <w:p w14:paraId="135154E6" w14:textId="5123C9A1"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color w:val="000000"/>
        </w:rPr>
        <w:t xml:space="preserve">the </w:t>
      </w:r>
      <w:r w:rsidR="00FD1F9D">
        <w:rPr>
          <w:color w:val="000000"/>
        </w:rPr>
        <w:t xml:space="preserve">acquisition by the Company </w:t>
      </w:r>
      <w:r w:rsidR="00FD1F9D" w:rsidRPr="00A42D96">
        <w:rPr>
          <w:color w:val="000000"/>
        </w:rPr>
        <w:t>for no consideration</w:t>
      </w:r>
      <w:r w:rsidR="00FD1F9D">
        <w:rPr>
          <w:color w:val="000000"/>
        </w:rPr>
        <w:t xml:space="preserve"> </w:t>
      </w:r>
      <w:r>
        <w:rPr>
          <w:color w:val="000000"/>
        </w:rPr>
        <w:t>of 9,965,000 common shares of eXeBlock held by 103</w:t>
      </w:r>
      <w:r w:rsidR="00FD1F9D">
        <w:rPr>
          <w:color w:val="000000"/>
        </w:rPr>
        <w:t>5</w:t>
      </w:r>
      <w:r>
        <w:rPr>
          <w:color w:val="000000"/>
        </w:rPr>
        <w:t xml:space="preserve">3027, an entity wholly-owned by Jonathan Baha’i (which represents approximately </w:t>
      </w:r>
      <w:r>
        <w:t>16.</w:t>
      </w:r>
      <w:r w:rsidR="00FD1F9D">
        <w:rPr>
          <w:color w:val="000000"/>
        </w:rPr>
        <w:t>2</w:t>
      </w:r>
      <w:r>
        <w:rPr>
          <w:color w:val="000000"/>
        </w:rPr>
        <w:t xml:space="preserve">% of the Company’s common shares outstanding as of </w:t>
      </w:r>
      <w:r w:rsidR="004E67DB">
        <w:rPr>
          <w:color w:val="000000"/>
        </w:rPr>
        <w:t>February 28th</w:t>
      </w:r>
      <w:r>
        <w:rPr>
          <w:color w:val="000000"/>
        </w:rPr>
        <w:t xml:space="preserve">, 2019) </w:t>
      </w:r>
      <w:r w:rsidR="005D2CE9">
        <w:rPr>
          <w:color w:val="000000"/>
        </w:rPr>
        <w:t>which have been cancelled</w:t>
      </w:r>
      <w:r>
        <w:rPr>
          <w:color w:val="000000"/>
        </w:rPr>
        <w:t>;</w:t>
      </w:r>
    </w:p>
    <w:p w14:paraId="3232B134" w14:textId="77777777"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color w:val="000000"/>
        </w:rPr>
        <w:t xml:space="preserve">the termination of the software development agreement between eXeBlock and PBSA </w:t>
      </w:r>
      <w:r>
        <w:t>and release by eXeBlock in any interest in any consideration, including any PPY tokens, if any, which were to be transferred as payment for software development under such agreement;</w:t>
      </w:r>
    </w:p>
    <w:p w14:paraId="5DC4F3D3" w14:textId="77777777"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rPr>
        <w:t xml:space="preserve">the forgiveness of amounts owing by eXeBlock to each of Data Security Node Inc., Fallout Complex Inc., and Jonathan Baha’i for certain equipment, furniture, fixtures and Company expenses totaling </w:t>
      </w:r>
      <w:r w:rsidR="00FD1F9D">
        <w:rPr>
          <w:color w:val="000000"/>
        </w:rPr>
        <w:t xml:space="preserve">approximately </w:t>
      </w:r>
      <w:r>
        <w:rPr>
          <w:color w:val="000000"/>
        </w:rPr>
        <w:t>$</w:t>
      </w:r>
      <w:r>
        <w:t>74,912.35</w:t>
      </w:r>
      <w:r>
        <w:rPr>
          <w:color w:val="000000"/>
        </w:rPr>
        <w:t>; and</w:t>
      </w:r>
    </w:p>
    <w:p w14:paraId="67CAE0FB" w14:textId="77777777" w:rsidR="00E676B3" w:rsidRDefault="00B52CD0" w:rsidP="005D2CE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rPr>
        <w:t>the termination of the bunker lease between eXeBlock and Fallout Complex Inc.,</w:t>
      </w:r>
    </w:p>
    <w:p w14:paraId="6D25FCA2" w14:textId="77777777" w:rsidR="00E676B3" w:rsidRDefault="00B52CD0"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(collectively, the “Transaction”).  </w:t>
      </w:r>
    </w:p>
    <w:p w14:paraId="6559D1EE" w14:textId="77777777" w:rsidR="00E676B3" w:rsidRDefault="00A86766" w:rsidP="005D2CE9">
      <w:pPr>
        <w:pBdr>
          <w:top w:val="nil"/>
          <w:left w:val="nil"/>
          <w:bottom w:val="nil"/>
          <w:right w:val="nil"/>
          <w:between w:val="nil"/>
        </w:pBdr>
        <w:spacing w:after="0" w:line="240" w:lineRule="auto"/>
        <w:jc w:val="both"/>
        <w:rPr>
          <w:color w:val="000000"/>
        </w:rPr>
      </w:pPr>
      <w:r>
        <w:rPr>
          <w:color w:val="000000"/>
        </w:rPr>
        <w:t xml:space="preserve">The transaction </w:t>
      </w:r>
      <w:r w:rsidR="00C16CED">
        <w:rPr>
          <w:color w:val="000000"/>
        </w:rPr>
        <w:t xml:space="preserve">was approved by the Company’s shareholders at the Company’s Annual and Special Meeting held April 2, 2019 (the “Meeting”). 99.7% of the Company’s shares voted at the Meeting were voted in favour of the special resolution approving the </w:t>
      </w:r>
      <w:r w:rsidR="00FF10E4">
        <w:rPr>
          <w:color w:val="000000"/>
        </w:rPr>
        <w:t>t</w:t>
      </w:r>
      <w:r w:rsidR="00C16CED">
        <w:rPr>
          <w:color w:val="000000"/>
        </w:rPr>
        <w:t xml:space="preserve">ransaction. </w:t>
      </w:r>
    </w:p>
    <w:p w14:paraId="41D773B3" w14:textId="77777777" w:rsidR="00E676B3" w:rsidRDefault="00E676B3" w:rsidP="005D2CE9">
      <w:pPr>
        <w:pBdr>
          <w:top w:val="nil"/>
          <w:left w:val="nil"/>
          <w:bottom w:val="nil"/>
          <w:right w:val="nil"/>
          <w:between w:val="nil"/>
        </w:pBdr>
        <w:spacing w:after="0" w:line="240" w:lineRule="auto"/>
        <w:jc w:val="both"/>
        <w:rPr>
          <w:color w:val="000000"/>
        </w:rPr>
      </w:pPr>
    </w:p>
    <w:p w14:paraId="5C8A4F86" w14:textId="489B5DFB" w:rsidR="00E926FC" w:rsidRPr="00E926FC" w:rsidRDefault="00E926FC" w:rsidP="00E926FC">
      <w:pPr>
        <w:spacing w:after="0" w:line="240" w:lineRule="auto"/>
        <w:jc w:val="both"/>
        <w:rPr>
          <w:rFonts w:asciiTheme="majorHAnsi" w:eastAsia="Times New Roman" w:hAnsiTheme="majorHAnsi" w:cstheme="majorHAnsi"/>
          <w:color w:val="222222"/>
        </w:rPr>
      </w:pPr>
      <w:r w:rsidRPr="00E926FC">
        <w:rPr>
          <w:rFonts w:asciiTheme="majorHAnsi" w:eastAsia="Times New Roman" w:hAnsiTheme="majorHAnsi" w:cstheme="majorHAnsi"/>
          <w:color w:val="000000"/>
        </w:rPr>
        <w:t>eXeBlock is now in a position to move forward with any other business opportunities that it may identify with a definitive path to revenue. “While we were working through this transaction, we were also busy evaluating opportunities that offer early revenue generation including potential mergers and the acquisition of technolog</w:t>
      </w:r>
      <w:r>
        <w:rPr>
          <w:rFonts w:asciiTheme="majorHAnsi" w:eastAsia="Times New Roman" w:hAnsiTheme="majorHAnsi" w:cstheme="majorHAnsi"/>
          <w:color w:val="000000"/>
        </w:rPr>
        <w:t>y based organizations</w:t>
      </w:r>
      <w:r w:rsidRPr="00E926FC">
        <w:rPr>
          <w:rFonts w:asciiTheme="majorHAnsi" w:eastAsia="Times New Roman" w:hAnsiTheme="majorHAnsi" w:cstheme="majorHAnsi"/>
          <w:color w:val="000000"/>
        </w:rPr>
        <w:t xml:space="preserve"> that </w:t>
      </w:r>
      <w:r w:rsidR="00831939">
        <w:rPr>
          <w:rFonts w:asciiTheme="majorHAnsi" w:eastAsia="Times New Roman" w:hAnsiTheme="majorHAnsi" w:cstheme="majorHAnsi"/>
          <w:color w:val="000000"/>
        </w:rPr>
        <w:t xml:space="preserve">have </w:t>
      </w:r>
      <w:r w:rsidRPr="00E926FC">
        <w:rPr>
          <w:rFonts w:asciiTheme="majorHAnsi" w:eastAsia="Times New Roman" w:hAnsiTheme="majorHAnsi" w:cstheme="majorHAnsi"/>
          <w:color w:val="000000"/>
        </w:rPr>
        <w:t xml:space="preserve">near </w:t>
      </w:r>
      <w:r w:rsidR="00831939">
        <w:rPr>
          <w:rFonts w:asciiTheme="majorHAnsi" w:eastAsia="Times New Roman" w:hAnsiTheme="majorHAnsi" w:cstheme="majorHAnsi"/>
          <w:color w:val="000000"/>
        </w:rPr>
        <w:t>term</w:t>
      </w:r>
      <w:r w:rsidRPr="00E926FC">
        <w:rPr>
          <w:rFonts w:asciiTheme="majorHAnsi" w:eastAsia="Times New Roman" w:hAnsiTheme="majorHAnsi" w:cstheme="majorHAnsi"/>
          <w:color w:val="000000"/>
        </w:rPr>
        <w:t xml:space="preserve"> monetization</w:t>
      </w:r>
      <w:r w:rsidR="00831939">
        <w:rPr>
          <w:rFonts w:asciiTheme="majorHAnsi" w:eastAsia="Times New Roman" w:hAnsiTheme="majorHAnsi" w:cstheme="majorHAnsi"/>
          <w:color w:val="000000"/>
        </w:rPr>
        <w:t xml:space="preserve"> potential</w:t>
      </w:r>
      <w:r w:rsidRPr="00E926FC">
        <w:rPr>
          <w:rFonts w:asciiTheme="majorHAnsi" w:eastAsia="Times New Roman" w:hAnsiTheme="majorHAnsi" w:cstheme="majorHAnsi"/>
          <w:color w:val="000000"/>
        </w:rPr>
        <w:t>.” said the CEO of the Company, Jamie Davison.   </w:t>
      </w:r>
    </w:p>
    <w:p w14:paraId="68E297D4" w14:textId="77777777" w:rsidR="00E676B3" w:rsidRDefault="00E676B3" w:rsidP="005D2CE9">
      <w:pPr>
        <w:pBdr>
          <w:top w:val="nil"/>
          <w:left w:val="nil"/>
          <w:bottom w:val="nil"/>
          <w:right w:val="nil"/>
          <w:between w:val="nil"/>
        </w:pBdr>
        <w:spacing w:after="0" w:line="240" w:lineRule="auto"/>
        <w:jc w:val="both"/>
        <w:rPr>
          <w:color w:val="000000"/>
        </w:rPr>
      </w:pPr>
    </w:p>
    <w:p w14:paraId="57E7A098" w14:textId="77777777" w:rsidR="00E676B3" w:rsidRDefault="00B52CD0" w:rsidP="005D2CE9">
      <w:pPr>
        <w:jc w:val="both"/>
        <w:rPr>
          <w:b/>
        </w:rPr>
      </w:pPr>
      <w:r>
        <w:rPr>
          <w:b/>
        </w:rPr>
        <w:t>About eXeBlock</w:t>
      </w:r>
    </w:p>
    <w:p w14:paraId="6C08C0D5" w14:textId="77777777" w:rsidR="00E676B3" w:rsidRDefault="00B52CD0" w:rsidP="005D2CE9">
      <w:pPr>
        <w:jc w:val="both"/>
      </w:pPr>
      <w:r>
        <w:t>eXeBlock Technology Corp (CSE:</w:t>
      </w:r>
      <w:r w:rsidR="00A051C9">
        <w:t>X</w:t>
      </w:r>
      <w:r>
        <w:t>BLK) is a designer of custom, state-of-the-art blockchain based software applications that provide profitable, secure and efficient solutions to businesses and markets globally.</w:t>
      </w:r>
      <w:r w:rsidR="00A051C9">
        <w:t xml:space="preserve">  </w:t>
      </w:r>
      <w:r>
        <w:t xml:space="preserve">To receive regular updates on the business, follow them on Twitter @eXeBlock or visit </w:t>
      </w:r>
      <w:hyperlink r:id="rId10">
        <w:r>
          <w:rPr>
            <w:color w:val="0000FF"/>
            <w:u w:val="single"/>
          </w:rPr>
          <w:t>www.exeblock.com.</w:t>
        </w:r>
      </w:hyperlink>
      <w:r>
        <w:t xml:space="preserve"> </w:t>
      </w:r>
    </w:p>
    <w:p w14:paraId="26DA8E83" w14:textId="77777777" w:rsidR="00CC4610" w:rsidRDefault="00CC4610" w:rsidP="005D2CE9">
      <w:pPr>
        <w:jc w:val="both"/>
        <w:rPr>
          <w:color w:val="000000"/>
        </w:rPr>
      </w:pPr>
      <w:r>
        <w:rPr>
          <w:color w:val="000000"/>
        </w:rPr>
        <w:br w:type="page"/>
      </w:r>
    </w:p>
    <w:p w14:paraId="2999F70E" w14:textId="77777777" w:rsidR="00CC4610" w:rsidRDefault="00CC4610" w:rsidP="005D2CE9">
      <w:pPr>
        <w:spacing w:after="0" w:line="240" w:lineRule="auto"/>
        <w:jc w:val="both"/>
        <w:rPr>
          <w:color w:val="000000"/>
        </w:rPr>
      </w:pPr>
    </w:p>
    <w:p w14:paraId="12A7A829" w14:textId="77777777" w:rsidR="00E676B3" w:rsidRDefault="00B52CD0" w:rsidP="005D2CE9">
      <w:pPr>
        <w:spacing w:after="0" w:line="240" w:lineRule="auto"/>
        <w:jc w:val="both"/>
      </w:pPr>
      <w:r>
        <w:rPr>
          <w:color w:val="000000"/>
        </w:rPr>
        <w:t xml:space="preserve">For more information please contact: </w:t>
      </w:r>
    </w:p>
    <w:p w14:paraId="44EAD8BA" w14:textId="77777777" w:rsidR="00E676B3" w:rsidRDefault="00B52CD0" w:rsidP="005D2CE9">
      <w:pPr>
        <w:spacing w:after="0" w:line="240" w:lineRule="auto"/>
        <w:jc w:val="both"/>
        <w:rPr>
          <w:color w:val="000000"/>
        </w:rPr>
      </w:pPr>
      <w:r>
        <w:rPr>
          <w:color w:val="000000"/>
        </w:rPr>
        <w:t xml:space="preserve"> </w:t>
      </w:r>
      <w:r w:rsidR="00CC53FC">
        <w:rPr>
          <w:color w:val="000000"/>
        </w:rPr>
        <w:t>Jamie Davison</w:t>
      </w:r>
    </w:p>
    <w:p w14:paraId="00893B61" w14:textId="77777777" w:rsidR="00CC53FC" w:rsidRDefault="00CC53FC" w:rsidP="005D2CE9">
      <w:pPr>
        <w:spacing w:after="0" w:line="240" w:lineRule="auto"/>
        <w:jc w:val="both"/>
        <w:rPr>
          <w:color w:val="000000"/>
        </w:rPr>
      </w:pPr>
      <w:r>
        <w:rPr>
          <w:color w:val="000000"/>
        </w:rPr>
        <w:t xml:space="preserve">CEO </w:t>
      </w:r>
    </w:p>
    <w:p w14:paraId="2BB7A99E" w14:textId="77777777" w:rsidR="00E676B3" w:rsidRDefault="00CC53FC" w:rsidP="005D2CE9">
      <w:pPr>
        <w:spacing w:after="0" w:line="240" w:lineRule="auto"/>
        <w:jc w:val="both"/>
        <w:rPr>
          <w:color w:val="000000"/>
        </w:rPr>
      </w:pPr>
      <w:r>
        <w:rPr>
          <w:color w:val="000000"/>
        </w:rPr>
        <w:t>eXeBlock Technologies Corporation</w:t>
      </w:r>
    </w:p>
    <w:p w14:paraId="3FF2E0C6" w14:textId="77777777" w:rsidR="00E676B3" w:rsidRDefault="00B52CD0" w:rsidP="005D2CE9">
      <w:pPr>
        <w:spacing w:after="0" w:line="240" w:lineRule="auto"/>
        <w:jc w:val="both"/>
        <w:rPr>
          <w:color w:val="000000"/>
        </w:rPr>
      </w:pPr>
      <w:r>
        <w:rPr>
          <w:color w:val="000000"/>
        </w:rPr>
        <w:t>902.</w:t>
      </w:r>
      <w:r w:rsidR="00CC53FC">
        <w:rPr>
          <w:color w:val="000000"/>
        </w:rPr>
        <w:t>334-1699</w:t>
      </w:r>
    </w:p>
    <w:p w14:paraId="63A5F11E" w14:textId="77777777" w:rsidR="00E676B3" w:rsidRDefault="00CC53FC" w:rsidP="005D2CE9">
      <w:pPr>
        <w:spacing w:after="0" w:line="240" w:lineRule="auto"/>
        <w:jc w:val="both"/>
      </w:pPr>
      <w:r>
        <w:rPr>
          <w:color w:val="000000"/>
        </w:rPr>
        <w:t>jdavison@exeblock.com</w:t>
      </w:r>
    </w:p>
    <w:p w14:paraId="702004AE" w14:textId="77777777" w:rsidR="00E676B3" w:rsidRDefault="00E676B3" w:rsidP="005D2CE9">
      <w:pPr>
        <w:spacing w:after="0" w:line="240" w:lineRule="auto"/>
        <w:jc w:val="both"/>
      </w:pPr>
    </w:p>
    <w:p w14:paraId="17607FEC" w14:textId="77777777" w:rsidR="00E676B3" w:rsidRDefault="00B52CD0" w:rsidP="005D2CE9">
      <w:pPr>
        <w:spacing w:after="0" w:line="240" w:lineRule="auto"/>
        <w:jc w:val="both"/>
      </w:pPr>
      <w:r>
        <w:rPr>
          <w:color w:val="000000"/>
        </w:rPr>
        <w:t xml:space="preserve">Neither the CSE nor its Regulation Services Provider (as that term is defined in the policies of the CSE) accepts responsibility for the adequacy or accuracy of this release. </w:t>
      </w:r>
    </w:p>
    <w:p w14:paraId="6C184C2F" w14:textId="77777777" w:rsidR="00743444" w:rsidRDefault="00B52CD0" w:rsidP="005D2CE9">
      <w:pPr>
        <w:spacing w:after="0" w:line="240" w:lineRule="auto"/>
        <w:jc w:val="both"/>
        <w:rPr>
          <w:color w:val="000000"/>
        </w:rPr>
      </w:pPr>
      <w:r>
        <w:rPr>
          <w:color w:val="000000"/>
        </w:rPr>
        <w:t xml:space="preserve"> </w:t>
      </w:r>
    </w:p>
    <w:p w14:paraId="7B2FA3E7" w14:textId="77777777" w:rsidR="00E676B3" w:rsidRDefault="00B52CD0" w:rsidP="005D2CE9">
      <w:pPr>
        <w:spacing w:after="0" w:line="240" w:lineRule="auto"/>
        <w:jc w:val="both"/>
      </w:pPr>
      <w:r>
        <w:rPr>
          <w:color w:val="000000"/>
        </w:rPr>
        <w:t xml:space="preserve">FORWARD-LOOKING INFORMATION </w:t>
      </w:r>
    </w:p>
    <w:p w14:paraId="6DAFC66F" w14:textId="77777777" w:rsidR="00E676B3" w:rsidRDefault="00B52CD0" w:rsidP="005D2CE9">
      <w:pPr>
        <w:spacing w:after="0" w:line="240" w:lineRule="auto"/>
        <w:jc w:val="both"/>
      </w:pPr>
      <w:r>
        <w:rPr>
          <w:color w:val="000000"/>
        </w:rPr>
        <w:t xml:space="preserve"> This press release contains forward-looking statements and information that are based on the beliefs of management and reflect the Company's current expectations. When used in this press release, the words 'estimate', 'project', 'belief', 'will', 'anticipate', 'intend', 'expect', 'plan', 'predict', 'may' or 'should' and the negative of these words or such variations or comparable terminology are intended to identify forward-looking statements and information. More particularly and without limitation, this news release contains forward-looking information relating to the</w:t>
      </w:r>
      <w:r w:rsidR="00FF10E4">
        <w:rPr>
          <w:color w:val="000000"/>
        </w:rPr>
        <w:t xml:space="preserve"> ability to identify and complete a transaction </w:t>
      </w:r>
      <w:r w:rsidR="00743444">
        <w:rPr>
          <w:color w:val="000000"/>
        </w:rPr>
        <w:t xml:space="preserve">with a clear path to revenue, which depends upon the availability of such business opportunity, negotiation of acceptable terms, </w:t>
      </w:r>
      <w:r>
        <w:rPr>
          <w:color w:val="000000"/>
        </w:rPr>
        <w:t xml:space="preserve">receipt of regulatory approvals and the approval of the Company’s shareholders. Such statements and information reflect the current view of the Company with respect to risks and uncertainties that may cause actual results to differ materially from those contemplated in those forward-looking statements and information. By their nature, forward-looking statements involve known and unknown risks, uncertainties and other factors which may cause our actual results, performance or achievements, or other future events, to be materially different from any future results, performance or achievements expressed or implied by such forward-looking statements. Forward looking statements are made based on management's beliefs, estimates and opinions on the date that statements are made and the Company undertakes no obligation to update forward-looking statements if these beliefs, estimates and opinions or other circumstances should change. Investors are cautioned against attributing undue certainty to forward-looking statements. There are a number of important risk factors that could cause the Company's actual results to differ materially from those indicated or implied by forward-looking statements and information. For a more detailed discussion of risk factors, refer to the Company's management discussion and analysis dated as of January 28, 2019 filed under the Company's profile on SEDAR (www.sedar.com) and on the CSE's website. The Company cautions that the aforementioned list of material risk factors is not exhaustive. When relying on the Company's forward-looking statements and information to make decisions, investors and others should carefully consider the foregoing risk factors and other uncertainties and potential events. </w:t>
      </w:r>
    </w:p>
    <w:p w14:paraId="0B5C715C" w14:textId="77777777" w:rsidR="00E676B3" w:rsidRDefault="00B52CD0" w:rsidP="005D2CE9">
      <w:pPr>
        <w:spacing w:after="0" w:line="240" w:lineRule="auto"/>
        <w:jc w:val="both"/>
      </w:pPr>
      <w:r>
        <w:rPr>
          <w:color w:val="000000"/>
        </w:rPr>
        <w:t xml:space="preserve"> </w:t>
      </w:r>
    </w:p>
    <w:p w14:paraId="74759296" w14:textId="77777777" w:rsidR="00E676B3" w:rsidRDefault="00B52CD0" w:rsidP="005D2CE9">
      <w:pPr>
        <w:spacing w:after="0" w:line="240" w:lineRule="auto"/>
        <w:jc w:val="both"/>
      </w:pPr>
      <w:r>
        <w:rPr>
          <w:color w:val="000000"/>
        </w:rPr>
        <w:t xml:space="preserve">THE FORWARD-LOOKING INFORMATION CONTAINED IN THIS PRESS RELEASE REPRESENTS THE EXPECTATIONS OF THE COMPANY AS OF THE DATE OF THIS PRESS RELEASE AND, ACCORDINGLY, IS SUBJECT TO CHANGE AFTER SUCH DATE. READERS SHOULD NOT PLACE UNDUE IMPORTANCE ON FORWARD-LOOKING INFORMATION AND SHOULD NOT RELY UPON THIS INFORMATION AS OF ANY OTHER DATE. WHILE THE COMPANY MAY ELECT TO, IT DOES NOT UNDERTAKE TO UPDATE THIS INFORMATION AT ANY PARTICULAR TIME EXCEPT AS REQUIRED IN ACCORDANCE WITH APPLICABLE LAWS. </w:t>
      </w:r>
    </w:p>
    <w:p w14:paraId="5D857F39" w14:textId="77777777" w:rsidR="00CC4610" w:rsidRDefault="00B52CD0" w:rsidP="005D2CE9">
      <w:pPr>
        <w:spacing w:after="0" w:line="240" w:lineRule="auto"/>
        <w:jc w:val="both"/>
        <w:rPr>
          <w:color w:val="000000"/>
        </w:rPr>
      </w:pPr>
      <w:r>
        <w:rPr>
          <w:color w:val="000000"/>
        </w:rPr>
        <w:t xml:space="preserve"> </w:t>
      </w:r>
    </w:p>
    <w:p w14:paraId="656E9BED" w14:textId="77777777" w:rsidR="00E676B3" w:rsidRDefault="00B52CD0" w:rsidP="005D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color w:val="000000"/>
        </w:rPr>
        <w:t xml:space="preserve">NOT FOR DISTRIBUTION TO U.S. NEWSWIRE SERVICES OR DISSEMINATION IN THE UNITED STATES. </w:t>
      </w:r>
    </w:p>
    <w:sectPr w:rsidR="00E676B3">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7A78" w14:textId="77777777" w:rsidR="00B42D23" w:rsidRDefault="00B42D23">
      <w:pPr>
        <w:spacing w:after="0" w:line="240" w:lineRule="auto"/>
      </w:pPr>
      <w:r>
        <w:separator/>
      </w:r>
    </w:p>
  </w:endnote>
  <w:endnote w:type="continuationSeparator" w:id="0">
    <w:p w14:paraId="1C79738C" w14:textId="77777777" w:rsidR="00B42D23" w:rsidRDefault="00B4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14E9" w14:textId="77777777" w:rsidR="00E676B3" w:rsidRDefault="00C17FD1">
    <w:pPr>
      <w:pBdr>
        <w:top w:val="nil"/>
        <w:left w:val="nil"/>
        <w:bottom w:val="nil"/>
        <w:right w:val="nil"/>
        <w:between w:val="nil"/>
      </w:pBdr>
      <w:tabs>
        <w:tab w:val="center" w:pos="4680"/>
        <w:tab w:val="right" w:pos="9360"/>
      </w:tabs>
      <w:spacing w:after="0" w:line="240" w:lineRule="auto"/>
      <w:rPr>
        <w:color w:val="000000"/>
      </w:rPr>
    </w:pPr>
    <w:r w:rsidRPr="00C17FD1">
      <w:rPr>
        <w:noProof/>
        <w:color w:val="000000"/>
        <w:lang w:val="en-US"/>
      </w:rPr>
      <mc:AlternateContent>
        <mc:Choice Requires="wps">
          <w:drawing>
            <wp:anchor distT="0" distB="0" distL="114300" distR="114300" simplePos="0" relativeHeight="251660288" behindDoc="0" locked="1" layoutInCell="0" allowOverlap="1" wp14:anchorId="129D0607" wp14:editId="2CFCF24B">
              <wp:simplePos x="0" y="0"/>
              <wp:positionH relativeFrom="margin">
                <wp:posOffset>0</wp:posOffset>
              </wp:positionH>
              <wp:positionV relativeFrom="page">
                <wp:align>bottom</wp:align>
              </wp:positionV>
              <wp:extent cx="5943600" cy="640080"/>
              <wp:effectExtent l="0" t="0" r="0" b="7620"/>
              <wp:wrapNone/>
              <wp:docPr id="18" name="DocsID_PF4357844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567" w14:textId="77777777" w:rsidR="00C17FD1" w:rsidRDefault="00B42D23">
                          <w:pPr>
                            <w:pStyle w:val="DocsID"/>
                          </w:pPr>
                          <w:r>
                            <w:fldChar w:fldCharType="begin"/>
                          </w:r>
                          <w:r>
                            <w:instrText xml:space="preserve"> DOCPROPERTY "DocsID"  \* MERGEFORMAT </w:instrText>
                          </w:r>
                          <w:r>
                            <w:fldChar w:fldCharType="separate"/>
                          </w:r>
                          <w:r w:rsidR="005D2CE9">
                            <w:t>4142-0758-5564 v2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18754" id="_x0000_t202" coordsize="21600,21600" o:spt="202" path="m,l,21600r21600,l21600,xe">
              <v:stroke joinstyle="miter"/>
              <v:path gradientshapeok="t" o:connecttype="rect"/>
            </v:shapetype>
            <v:shape id="DocsID_PF4357844771" o:spid="_x0000_s1026" type="#_x0000_t202" style="position:absolute;margin-left:0;margin-top:0;width:468pt;height:50.4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t4twIAALMFAAAOAAAAZHJzL2Uyb0RvYy54bWysVFFvmzAQfp+0/2D5nQKpQwCVVG0IU6Vu&#10;q9TteXLABGtgM9sJ6ab9951NSdNWk6ZtPFhn++7zfXcfd3F56Fq0Z0pzKTIcngUYMVHKiotthj9/&#10;KrwYI22oqGgrBcvwA9P4cvn2zcXQp2wmG9lWTCEAETod+gw3xvSp7+uyYR3VZ7JnAi5rqTpqYKu2&#10;fqXoAOhd68+CIPIHqapeyZJpDaf5eImXDr+uWWk+1rVmBrUZhtyMW5VbN3b1lxc03SraN7x8TIP+&#10;RRYd5QIePULl1FC0U/wVVMdLJbWszVkpO1/WNS+Z4wBswuAFm/uG9sxxgeLo/lgm/f9gyw/7O4V4&#10;Bb2DTgnaQY9yWeqb/MtdQc7ni5iQxSK0dRp6nYL7fQ8B5nAtDxDjOOv+VpZfNRJy1VCxZVdKyaFh&#10;tII8XaR/EjriaAuyGd7LCt6jOyMd0KFWnS0ilAUBOvTr4dgjdjCohMN5Qs6jAK5KuItIEMSuiT5N&#10;p+heafOOyQ5ZI8MKNODQ6f5WG+ABrpOLfUzIgret00Ernh2A43gCb0OovbNZuLb+SIJkHa9j4pFZ&#10;tPZIkOfeVbEiXlSEi3l+nq9WefjTvhuStOFVxYR9ZpJYSP6shY9iH8VxFJmWLa8snE1Jq+1m1Sq0&#10;pyDxwn22W5D8iZv/PA13DVxeUApnJLieJV4RxQuPFGTuJYsg9oIwuU6igCQkL55TuuWC/TslNGQ4&#10;mc/mo5h+yy1w32tuNO24gSHS8i7D8dGJplaCa1G51hrK29E+KYVN/6kUULGp0U6wVqOjWs1hcwAU&#10;q+KNrB5AukqCskCEMPnAaKT6jtEAUyTD+tuOKoZReyNA/nbkTIaajM1kUFFCaIYNRqO5MuNo2vWK&#10;bxtAHn8wIa/gF6m5U+9TFpC63cBkcCQep5gdPad75/U0a5e/AAAA//8DAFBLAwQUAAYACAAAACEA&#10;Q3nyuNoAAAAFAQAADwAAAGRycy9kb3ducmV2LnhtbEyPwU7DMBBE70j8g7WVuFG7IEVtiFNVCE5I&#10;iDQcODrxNrEar0PstuHvWbjAZaXRjGbfFNvZD+KMU3SBNKyWCgRSG6yjTsN7/Xy7BhGTIWuGQKjh&#10;CyNsy+urwuQ2XKjC8z51gkso5kZDn9KYSxnbHr2JyzAisXcIkzeJ5dRJO5kLl/tB3imVSW8c8Yfe&#10;jPjYY3vcn7yG3QdVT+7ztXmrDpWr642il+yo9c1i3j2ASDinvzD84DM6lMzUhBPZKAYNPCT9XvY2&#10;9xnLhkNKrUGWhfxPX34DAAD//wMAUEsBAi0AFAAGAAgAAAAhALaDOJL+AAAA4QEAABMAAAAAAAAA&#10;AAAAAAAAAAAAAFtDb250ZW50X1R5cGVzXS54bWxQSwECLQAUAAYACAAAACEAOP0h/9YAAACUAQAA&#10;CwAAAAAAAAAAAAAAAAAvAQAAX3JlbHMvLnJlbHNQSwECLQAUAAYACAAAACEAb0k7eLcCAACzBQAA&#10;DgAAAAAAAAAAAAAAAAAuAgAAZHJzL2Uyb0RvYy54bWxQSwECLQAUAAYACAAAACEAQ3nyuNoAAAAF&#10;AQAADwAAAAAAAAAAAAAAAAARBQAAZHJzL2Rvd25yZXYueG1sUEsFBgAAAAAEAAQA8wAAABgGAAAA&#10;AA==&#10;" o:allowincell="f" filled="f" stroked="f">
              <v:textbox inset="0,0,0,0">
                <w:txbxContent>
                  <w:p w:rsidR="00C17FD1" w:rsidRDefault="005D2CE9">
                    <w:pPr>
                      <w:pStyle w:val="DocsID"/>
                    </w:pPr>
                    <w:r>
                      <w:fldChar w:fldCharType="begin"/>
                    </w:r>
                    <w:r>
                      <w:instrText xml:space="preserve"> DOCPROPERTY "DocsID"  \* MERGEFORMAT </w:instrText>
                    </w:r>
                    <w:r>
                      <w:fldChar w:fldCharType="separate"/>
                    </w:r>
                    <w:r>
                      <w:t>4142-0758-5564 v2</w:t>
                    </w:r>
                    <w:r>
                      <w:fldChar w:fldCharType="end"/>
                    </w:r>
                  </w:p>
                </w:txbxContent>
              </v:textbox>
              <w10:wrap anchorx="margin" anchory="page"/>
              <w10:anchorlock/>
            </v:shape>
          </w:pict>
        </mc:Fallback>
      </mc:AlternateContent>
    </w:r>
    <w:r w:rsidR="00B52CD0">
      <w:rPr>
        <w:color w:val="000000"/>
      </w:rPr>
      <w:t xml:space="preserve"> </w:t>
    </w:r>
    <w:r w:rsidR="00B52CD0">
      <w:rPr>
        <w:noProof/>
        <w:lang w:val="en-US"/>
      </w:rPr>
      <mc:AlternateContent>
        <mc:Choice Requires="wps">
          <w:drawing>
            <wp:anchor distT="0" distB="0" distL="114300" distR="114300" simplePos="0" relativeHeight="251658240" behindDoc="0" locked="0" layoutInCell="1" hidden="0" allowOverlap="1" wp14:anchorId="7EE7E01D" wp14:editId="208DB392">
              <wp:simplePos x="0" y="0"/>
              <wp:positionH relativeFrom="column">
                <wp:posOffset>1</wp:posOffset>
              </wp:positionH>
              <wp:positionV relativeFrom="paragraph">
                <wp:posOffset>0</wp:posOffset>
              </wp:positionV>
              <wp:extent cx="5953125" cy="649605"/>
              <wp:effectExtent l="0" t="0" r="0" b="0"/>
              <wp:wrapNone/>
              <wp:docPr id="1" name="Rectangle 1"/>
              <wp:cNvGraphicFramePr/>
              <a:graphic xmlns:a="http://schemas.openxmlformats.org/drawingml/2006/main">
                <a:graphicData uri="http://schemas.microsoft.com/office/word/2010/wordprocessingShape">
                  <wps:wsp>
                    <wps:cNvSpPr/>
                    <wps:spPr>
                      <a:xfrm>
                        <a:off x="2374200" y="3459960"/>
                        <a:ext cx="5943600" cy="640080"/>
                      </a:xfrm>
                      <a:prstGeom prst="rect">
                        <a:avLst/>
                      </a:prstGeom>
                      <a:noFill/>
                      <a:ln>
                        <a:noFill/>
                      </a:ln>
                    </wps:spPr>
                    <wps:txbx>
                      <w:txbxContent>
                        <w:p w14:paraId="4A07B53B" w14:textId="77777777" w:rsidR="00E676B3" w:rsidRDefault="00E676B3">
                          <w:pPr>
                            <w:spacing w:before="20" w:after="0" w:line="240" w:lineRule="auto"/>
                            <w:textDirection w:val="btLr"/>
                          </w:pPr>
                        </w:p>
                      </w:txbxContent>
                    </wps:txbx>
                    <wps:bodyPr spcFirstLastPara="1" wrap="square" lIns="0" tIns="0" rIns="0" bIns="0" anchor="t" anchorCtr="0"/>
                  </wps:wsp>
                </a:graphicData>
              </a:graphic>
            </wp:anchor>
          </w:drawing>
        </mc:Choice>
        <mc:Fallback>
          <w:pict>
            <v:rect w14:anchorId="1BDE6263" id="Rectangle 1" o:spid="_x0000_s1027" style="position:absolute;margin-left:0;margin-top:0;width:468.75pt;height:5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fMvgEAAF0DAAAOAAAAZHJzL2Uyb0RvYy54bWysU8tu2zAQvBfoPxC8x5IfcWPBcg4NHBQI&#10;WqNpPmBNURYBvsJlLPnvu6TlJG1vQS/ULjmY3ZldrW8Ho9lRBlTO1nw6KTmTVrhG2UPNn35tr244&#10;wwi2Ae2srPlJIr/dfP607n0lZ65zupGBEYnFqvc172L0VVGg6KQBnDgvLT22LhiIlIZD0QToid3o&#10;YlaWy6J3ofHBCYlIt3fnR77J/G0rRfzRtigj0zWn3mI+Qz736Sw2a6gOAXynxNgGfKALA8pS0Veq&#10;O4jAXoL6h8ooERy6Nk6EM4VrWyVk1kBqpuVfah478DJrIXPQv9qE/49WfD/uAlMNzY4zC4ZG9JNM&#10;A3vQkk2TPb3HilCPfhfGDClMWoc2mPQlFWyo+Wz+ZUEj4exU8/nierVajvbKITJBgOvVYr5MAEGI&#10;5aIsbzKgeGPyAeO9dIaloOaBOsmuwvEBI1Un6AWSClu3VVrnEWr7xwUB002Rmj+3m6I47IdR6yhl&#10;75oT6UcvtopKPgDGHQTaAHKjp62oOT6/QJCc6W+WbE8rdAnCJdhfArCic7RckbNz+DXmVUudp/o0&#10;w6xh3Le0JO/zjHr7Kza/AQAA//8DAFBLAwQUAAYACAAAACEArk3ADt4AAAAFAQAADwAAAGRycy9k&#10;b3ducmV2LnhtbEyPzU7DMBCE70i8g7VI3KjTVpQmxKkqftQeS4tUuLnxNomw11HsNoGnZ+ECl5FW&#10;M5r5Nl8MzoozdqHxpGA8SkAgld40VCl43T3fzEGEqMlo6wkVfGKARXF5kevM+J5e8LyNleASCplW&#10;UMfYZlKGskanw8i3SOwdfed05LOrpOl0z+XOykmSzKTTDfFCrVt8qLH82J6cgtW8Xb6t/Vdf2af3&#10;1X6zTx93aVTq+mpY3oOIOMS/MPzgMzoUzHTwJzJBWAX8SPxV9tLp3S2IA4eSyRRkkcv/9MU3AAAA&#10;//8DAFBLAQItABQABgAIAAAAIQC2gziS/gAAAOEBAAATAAAAAAAAAAAAAAAAAAAAAABbQ29udGVu&#10;dF9UeXBlc10ueG1sUEsBAi0AFAAGAAgAAAAhADj9If/WAAAAlAEAAAsAAAAAAAAAAAAAAAAALwEA&#10;AF9yZWxzLy5yZWxzUEsBAi0AFAAGAAgAAAAhALBCp8y+AQAAXQMAAA4AAAAAAAAAAAAAAAAALgIA&#10;AGRycy9lMm9Eb2MueG1sUEsBAi0AFAAGAAgAAAAhAK5NwA7eAAAABQEAAA8AAAAAAAAAAAAAAAAA&#10;GAQAAGRycy9kb3ducmV2LnhtbFBLBQYAAAAABAAEAPMAAAAjBQAAAAA=&#10;" filled="f" stroked="f">
              <v:textbox inset="0,0,0,0">
                <w:txbxContent>
                  <w:p w:rsidR="00E676B3" w:rsidRDefault="00E676B3">
                    <w:pPr>
                      <w:spacing w:before="20"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085D" w14:textId="77777777" w:rsidR="00B42D23" w:rsidRDefault="00B42D23">
      <w:pPr>
        <w:spacing w:after="0" w:line="240" w:lineRule="auto"/>
      </w:pPr>
      <w:r>
        <w:separator/>
      </w:r>
    </w:p>
  </w:footnote>
  <w:footnote w:type="continuationSeparator" w:id="0">
    <w:p w14:paraId="500EBE9E" w14:textId="77777777" w:rsidR="00B42D23" w:rsidRDefault="00B4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BCB8" w14:textId="77777777" w:rsidR="00E676B3" w:rsidRDefault="00B52CD0">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14BD70E1" wp14:editId="42A016F1">
          <wp:extent cx="663575" cy="663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3575" cy="663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D18"/>
    <w:multiLevelType w:val="multilevel"/>
    <w:tmpl w:val="BA028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B3"/>
    <w:rsid w:val="00016865"/>
    <w:rsid w:val="00061600"/>
    <w:rsid w:val="001D73D9"/>
    <w:rsid w:val="00206B53"/>
    <w:rsid w:val="00332086"/>
    <w:rsid w:val="00414238"/>
    <w:rsid w:val="004173FD"/>
    <w:rsid w:val="004A7E60"/>
    <w:rsid w:val="004E67DB"/>
    <w:rsid w:val="0056237E"/>
    <w:rsid w:val="005D2CE9"/>
    <w:rsid w:val="006A60FD"/>
    <w:rsid w:val="007420C8"/>
    <w:rsid w:val="00743444"/>
    <w:rsid w:val="007E6EAC"/>
    <w:rsid w:val="00831939"/>
    <w:rsid w:val="008E2C94"/>
    <w:rsid w:val="009B530B"/>
    <w:rsid w:val="00A051C9"/>
    <w:rsid w:val="00A42D96"/>
    <w:rsid w:val="00A86766"/>
    <w:rsid w:val="00AF15C8"/>
    <w:rsid w:val="00B42D23"/>
    <w:rsid w:val="00B52CD0"/>
    <w:rsid w:val="00C16CED"/>
    <w:rsid w:val="00C17FD1"/>
    <w:rsid w:val="00CC4610"/>
    <w:rsid w:val="00CC53FC"/>
    <w:rsid w:val="00D03EDF"/>
    <w:rsid w:val="00D04884"/>
    <w:rsid w:val="00D65649"/>
    <w:rsid w:val="00E5144C"/>
    <w:rsid w:val="00E676B3"/>
    <w:rsid w:val="00E926FC"/>
    <w:rsid w:val="00EE25BB"/>
    <w:rsid w:val="00F84137"/>
    <w:rsid w:val="00FD1F9D"/>
    <w:rsid w:val="00FF1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3B44"/>
  <w15:docId w15:val="{1BDF84BE-400A-F54C-B576-BB79C031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53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3FC"/>
    <w:rPr>
      <w:rFonts w:ascii="Times New Roman" w:hAnsi="Times New Roman" w:cs="Times New Roman"/>
      <w:sz w:val="18"/>
      <w:szCs w:val="18"/>
    </w:rPr>
  </w:style>
  <w:style w:type="paragraph" w:styleId="Header">
    <w:name w:val="header"/>
    <w:basedOn w:val="Normal"/>
    <w:link w:val="HeaderChar"/>
    <w:uiPriority w:val="99"/>
    <w:unhideWhenUsed/>
    <w:rsid w:val="00C1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D1"/>
  </w:style>
  <w:style w:type="paragraph" w:styleId="Footer">
    <w:name w:val="footer"/>
    <w:basedOn w:val="Normal"/>
    <w:link w:val="FooterChar"/>
    <w:uiPriority w:val="99"/>
    <w:unhideWhenUsed/>
    <w:rsid w:val="00C1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D1"/>
  </w:style>
  <w:style w:type="paragraph" w:customStyle="1" w:styleId="DocsID">
    <w:name w:val="DocsID"/>
    <w:basedOn w:val="Normal"/>
    <w:rsid w:val="00C17FD1"/>
    <w:pPr>
      <w:spacing w:before="20" w:after="0" w:line="240" w:lineRule="auto"/>
    </w:pPr>
    <w:rPr>
      <w:rFonts w:ascii="Arial" w:eastAsia="Times New Roman" w:hAnsi="Arial" w:cs="Arial"/>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7409">
      <w:bodyDiv w:val="1"/>
      <w:marLeft w:val="0"/>
      <w:marRight w:val="0"/>
      <w:marTop w:val="0"/>
      <w:marBottom w:val="0"/>
      <w:divBdr>
        <w:top w:val="none" w:sz="0" w:space="0" w:color="auto"/>
        <w:left w:val="none" w:sz="0" w:space="0" w:color="auto"/>
        <w:bottom w:val="none" w:sz="0" w:space="0" w:color="auto"/>
        <w:right w:val="none" w:sz="0" w:space="0" w:color="auto"/>
      </w:divBdr>
      <w:divsChild>
        <w:div w:id="912928805">
          <w:marLeft w:val="0"/>
          <w:marRight w:val="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xeblo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df8eb516a80b3f1e62bba77e4f8ccf6d">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ee95fcc0019ddc0cc9b24fe236d6d889"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CE970-BEC2-4CE4-93CA-BAA4FC7D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8A816-E8AC-4241-AE2F-93C842E17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89C81-28A5-419A-BE79-8D52C9AA5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Thomson</dc:creator>
  <cp:lastModifiedBy>Paul Thomson</cp:lastModifiedBy>
  <cp:revision>2</cp:revision>
  <cp:lastPrinted>2019-04-17T19:42:00Z</cp:lastPrinted>
  <dcterms:created xsi:type="dcterms:W3CDTF">2019-04-26T17:58:00Z</dcterms:created>
  <dcterms:modified xsi:type="dcterms:W3CDTF">2019-04-26T17:58:00Z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y fmtid="{D5CDD505-2E9C-101B-9397-08002B2CF9AE}" pid="3" name="DocIDAutoUpdate">
    <vt:lpwstr>ALL</vt:lpwstr>
  </property>
  <property fmtid="{D5CDD505-2E9C-101B-9397-08002B2CF9AE}" pid="4" name="DocsID">
    <vt:lpwstr>4142-0758-5564 v2</vt:lpwstr>
  </property>
</Properties>
</file>